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20/99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результатах выборов депутата Залегощенского поселкового Совета народных депутатов шестого созыва по </w:t>
      </w:r>
      <w:r>
        <w:rPr>
          <w:rFonts w:cs="Times New Roman"/>
          <w:b/>
          <w:sz w:val="28"/>
          <w:szCs w:val="28"/>
        </w:rPr>
        <w:t xml:space="preserve">одномандатному избирательному округу № </w:t>
      </w:r>
      <w:r>
        <w:rPr>
          <w:rFonts w:cs="Times New Roman"/>
          <w:b/>
          <w:sz w:val="28"/>
          <w:szCs w:val="28"/>
          <w:highlight w:val="white"/>
        </w:rPr>
        <w:t>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Залегощенского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района от 24 июня 2022 года № 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9/23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 возложении полномочий окружной избирательной комиссии одномандатного избирательного округа №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4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по дополнительным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депутата 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на территориальную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избирательную комиссию Залегощенского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района» и на основании протокола окружной избирательной комиссии от 11 сентября 2022 года о результатах выборов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Залегощенского поселкового Совета народных депутатов шестого созыва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по</w:t>
      </w:r>
      <w:r>
        <w:rPr>
          <w:rFonts w:eastAsia="Times New Roman" w:cs="Times New Roman"/>
          <w:sz w:val="28"/>
          <w:szCs w:val="28"/>
          <w:lang w:eastAsia="ru-RU"/>
        </w:rPr>
        <w:t xml:space="preserve"> одномандатному избирательному округу № 4</w:t>
      </w:r>
      <w:r>
        <w:rPr>
          <w:rFonts w:eastAsia="Times New Roman" w:cs="Times New Roman"/>
          <w:sz w:val="28"/>
          <w:szCs w:val="28"/>
          <w:highlight w:val="yellow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соответствии с которым в голосовании приняли участие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107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избирателей,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территориальная избирательная комиссия Залегощенского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района </w:t>
      </w:r>
      <w:r>
        <w:rPr>
          <w:rFonts w:eastAsia="Times New Roman" w:cs="Times New Roman"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  Признать выборы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состоявшимися и действительными.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  Считать избранным депутатом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по одномандатному избирательному округу № 4 Серебрянскую Галину Николаевну, получившего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59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голосов избирателей, что является наибольшим числом голосов избир</w:t>
      </w:r>
      <w:r>
        <w:rPr>
          <w:rFonts w:eastAsia="Times New Roman" w:cs="Times New Roman"/>
          <w:sz w:val="28"/>
          <w:szCs w:val="28"/>
          <w:lang w:eastAsia="ru-RU"/>
        </w:rPr>
        <w:t>ателей по отношению к другим кандидатам.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 w:bidi="en-US"/>
        </w:rPr>
        <w:t xml:space="preserve"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4, в газете «Маяк».</w:t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cs="Times New Roman"/>
          <w:bCs/>
          <w:sz w:val="28"/>
          <w:szCs w:val="20"/>
          <w:highlight w:val="white"/>
        </w:rPr>
        <w:t>4.  </w:t>
      </w:r>
      <w:r>
        <w:rPr>
          <w:rFonts w:cs="Times New Roman"/>
          <w:bCs/>
          <w:spacing w:val="0"/>
          <w:sz w:val="28"/>
          <w:szCs w:val="20"/>
          <w:highlight w:val="white"/>
        </w:rPr>
        <w:t>Контроль за исполнением настоящего решения возложить н</w:t>
      </w:r>
      <w:r>
        <w:rPr>
          <w:rFonts w:cs="Times New Roman"/>
          <w:bCs/>
          <w:spacing w:val="0"/>
          <w:sz w:val="28"/>
          <w:szCs w:val="20"/>
        </w:rPr>
        <w:t xml:space="preserve">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Председатель  </w:t>
      </w:r>
      <w:bookmarkStart w:id="0" w:name="__DdeLink__296_1310731931"/>
      <w:r>
        <w:rPr>
          <w:rFonts w:eastAsia="Times New Roman" w:cs="Times New Roman"/>
          <w:sz w:val="28"/>
          <w:szCs w:val="28"/>
          <w:lang w:eastAsia="ru-RU"/>
        </w:rPr>
        <w:t>ТИК</w:t>
      </w:r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/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756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2022-09-13T09:33:43Z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