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4" w:rsidRPr="00AF1715" w:rsidRDefault="00AF1715">
      <w:pPr>
        <w:jc w:val="both"/>
      </w:pPr>
      <w:r w:rsidRPr="00AF1715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B4" w:rsidRPr="00AF1715" w:rsidRDefault="003C73B4">
      <w:pPr>
        <w:ind w:left="4536"/>
      </w:pPr>
    </w:p>
    <w:p w:rsidR="003C73B4" w:rsidRDefault="003C73B4">
      <w:pPr>
        <w:rPr>
          <w:b/>
          <w:bCs/>
          <w:color w:val="000000"/>
          <w:szCs w:val="28"/>
        </w:rPr>
      </w:pPr>
    </w:p>
    <w:p w:rsidR="003C73B4" w:rsidRDefault="00AF171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3C73B4" w:rsidRDefault="003C73B4">
      <w:pPr>
        <w:rPr>
          <w:b/>
          <w:bCs/>
          <w:color w:val="000000"/>
          <w:sz w:val="32"/>
          <w:szCs w:val="32"/>
        </w:rPr>
      </w:pPr>
    </w:p>
    <w:p w:rsidR="003C73B4" w:rsidRDefault="00AF1715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C73B4" w:rsidRDefault="00AF1715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3C73B4" w:rsidRDefault="003C73B4">
      <w:pPr>
        <w:rPr>
          <w:color w:val="000000"/>
        </w:rPr>
      </w:pPr>
    </w:p>
    <w:p w:rsidR="003C73B4" w:rsidRDefault="00AF1715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3C73B4" w:rsidTr="00AF1715">
        <w:tc>
          <w:tcPr>
            <w:tcW w:w="3249" w:type="dxa"/>
            <w:shd w:val="clear" w:color="auto" w:fill="auto"/>
          </w:tcPr>
          <w:p w:rsidR="003C73B4" w:rsidRDefault="00AF1715">
            <w:pPr>
              <w:jc w:val="both"/>
            </w:pPr>
            <w:r>
              <w:rPr>
                <w:lang w:val="en-US"/>
              </w:rPr>
              <w:t>9 февраля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shd w:val="clear" w:color="auto" w:fill="auto"/>
          </w:tcPr>
          <w:p w:rsidR="003C73B4" w:rsidRDefault="00AF1715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3C73B4" w:rsidRDefault="00AF1715" w:rsidP="00AF1715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4/11</w:t>
            </w:r>
          </w:p>
        </w:tc>
      </w:tr>
    </w:tbl>
    <w:p w:rsidR="003C73B4" w:rsidRDefault="003C73B4">
      <w:pPr>
        <w:pStyle w:val="af7"/>
      </w:pPr>
    </w:p>
    <w:p w:rsidR="003C73B4" w:rsidRDefault="00AF1715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3C73B4" w:rsidRDefault="003C73B4">
      <w:pPr>
        <w:ind w:hanging="108"/>
        <w:jc w:val="both"/>
        <w:rPr>
          <w:szCs w:val="28"/>
        </w:rPr>
      </w:pPr>
    </w:p>
    <w:p w:rsidR="003C73B4" w:rsidRDefault="00AF1715">
      <w:r>
        <w:rPr>
          <w:szCs w:val="28"/>
        </w:rPr>
        <w:t xml:space="preserve">   </w:t>
      </w:r>
      <w:r>
        <w:rPr>
          <w:b/>
          <w:szCs w:val="28"/>
        </w:rPr>
        <w:t>О Плане мероприятий по обучению организаторов выборов и иных участников избирательного процесса, повышению правовой культуры избирателей (участников референдума) на территории Залегощенского района на 2022 год</w:t>
      </w:r>
    </w:p>
    <w:p w:rsidR="003C73B4" w:rsidRDefault="003C73B4">
      <w:pPr>
        <w:rPr>
          <w:b/>
          <w:szCs w:val="28"/>
        </w:rPr>
      </w:pPr>
    </w:p>
    <w:p w:rsidR="003C73B4" w:rsidRDefault="003C73B4">
      <w:pPr>
        <w:spacing w:line="360" w:lineRule="auto"/>
        <w:ind w:firstLine="709"/>
        <w:jc w:val="both"/>
        <w:rPr>
          <w:szCs w:val="28"/>
        </w:rPr>
      </w:pPr>
    </w:p>
    <w:p w:rsidR="003C73B4" w:rsidRDefault="00AF1715">
      <w:pPr>
        <w:pStyle w:val="afb"/>
        <w:spacing w:line="360" w:lineRule="auto"/>
        <w:jc w:val="both"/>
      </w:pPr>
      <w:r>
        <w:rPr>
          <w:b w:val="0"/>
          <w:sz w:val="28"/>
          <w:szCs w:val="24"/>
        </w:rPr>
        <w:t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27 января 2022 года № 3/13-7 «О Плане мероприятий по обучению членов избирательных комиссий и иных участников избирательного процесса, повышению правовой культуры избирателей (участников референдума) на территории Орловской области на 2022 год», во исполнение решения территориальной избирательной комиссии Залегощенского района от 9 февраля 2022 года № 3/9  «О Плане работы территориальной избирательной комиссии Залегощенского района на 2022 год», территориальная избирательная комиссия Залегощенского района РЕШИЛА:</w:t>
      </w:r>
    </w:p>
    <w:p w:rsidR="003C73B4" w:rsidRDefault="00AF1715">
      <w:pPr>
        <w:spacing w:line="360" w:lineRule="auto"/>
        <w:ind w:firstLine="705"/>
        <w:jc w:val="both"/>
      </w:pPr>
      <w:r>
        <w:t xml:space="preserve">1. Утвердить План мероприятий по обучению организаторов выборов и иных участников избирательного процесса, повышению правовой культуры </w:t>
      </w:r>
      <w:r>
        <w:lastRenderedPageBreak/>
        <w:t>избирателей (участников референдума) на территории Залегощенского района на 2022 год (прилагается).</w:t>
      </w:r>
      <w:r>
        <w:tab/>
      </w:r>
    </w:p>
    <w:p w:rsidR="003C73B4" w:rsidRDefault="00AF1715">
      <w:pPr>
        <w:spacing w:line="360" w:lineRule="auto"/>
        <w:ind w:firstLine="709"/>
        <w:jc w:val="both"/>
      </w:pPr>
      <w:r>
        <w:rPr>
          <w:bCs/>
          <w:szCs w:val="28"/>
        </w:rPr>
        <w:t xml:space="preserve">2. Размещать информацию о проведенных обучающих мероприятиях на </w:t>
      </w:r>
    </w:p>
    <w:p w:rsidR="003C73B4" w:rsidRDefault="00AF1715">
      <w:pPr>
        <w:spacing w:line="360" w:lineRule="auto"/>
        <w:jc w:val="both"/>
      </w:pPr>
      <w:r>
        <w:rPr>
          <w:bCs/>
          <w:szCs w:val="28"/>
        </w:rPr>
        <w:t xml:space="preserve">сайте территориальной избирательной комиссии </w:t>
      </w:r>
      <w:r>
        <w:rPr>
          <w:bCs/>
        </w:rPr>
        <w:t>Залегощенского</w:t>
      </w:r>
      <w:r>
        <w:rPr>
          <w:bCs/>
          <w:szCs w:val="28"/>
        </w:rPr>
        <w:t xml:space="preserve"> района. </w:t>
      </w:r>
    </w:p>
    <w:p w:rsidR="003C73B4" w:rsidRDefault="00AF1715">
      <w:pPr>
        <w:spacing w:line="360" w:lineRule="auto"/>
        <w:ind w:firstLine="705"/>
        <w:jc w:val="both"/>
      </w:pPr>
      <w:r>
        <w:rPr>
          <w:bCs/>
          <w:szCs w:val="28"/>
        </w:rPr>
        <w:t>3. 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  <w:r>
        <w:rPr>
          <w:bCs/>
          <w:szCs w:val="28"/>
        </w:rPr>
        <w:tab/>
      </w:r>
    </w:p>
    <w:p w:rsidR="003C73B4" w:rsidRDefault="00AF1715">
      <w:pPr>
        <w:spacing w:line="360" w:lineRule="auto"/>
        <w:ind w:firstLine="705"/>
        <w:jc w:val="both"/>
      </w:pPr>
      <w:r>
        <w:rPr>
          <w:bCs/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Соколенко И.Е.</w:t>
      </w:r>
    </w:p>
    <w:p w:rsidR="003C73B4" w:rsidRDefault="00AF1715">
      <w:pPr>
        <w:spacing w:line="360" w:lineRule="auto"/>
        <w:ind w:firstLine="705"/>
        <w:jc w:val="both"/>
      </w:pPr>
      <w:r>
        <w:rPr>
          <w:bCs/>
          <w:szCs w:val="28"/>
        </w:rPr>
        <w:t xml:space="preserve">5. Разместить данное решение на сайте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в информационно-телекоммуникационной сети «Интернет».</w:t>
      </w:r>
    </w:p>
    <w:p w:rsidR="003C73B4" w:rsidRDefault="003C73B4">
      <w:pPr>
        <w:spacing w:line="360" w:lineRule="auto"/>
        <w:rPr>
          <w:szCs w:val="28"/>
        </w:rPr>
      </w:pPr>
    </w:p>
    <w:p w:rsidR="003C73B4" w:rsidRDefault="003C73B4">
      <w:pPr>
        <w:spacing w:line="276" w:lineRule="auto"/>
        <w:rPr>
          <w:szCs w:val="28"/>
        </w:rPr>
      </w:pPr>
    </w:p>
    <w:p w:rsidR="003C73B4" w:rsidRDefault="00AF1715">
      <w:pPr>
        <w:pStyle w:val="ConsPlusNonformat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Председатель  ТИК                                             О.В.Назаркина     </w:t>
      </w:r>
    </w:p>
    <w:p w:rsidR="003C73B4" w:rsidRDefault="00AF1715">
      <w:pPr>
        <w:pStyle w:val="ConsPlusNonformat"/>
        <w:spacing w:line="276" w:lineRule="auto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3C73B4" w:rsidRDefault="00AF1715">
      <w:pPr>
        <w:pStyle w:val="ConsPlusNonformat"/>
        <w:spacing w:line="276" w:lineRule="auto"/>
        <w:jc w:val="center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И.Е. Соколенко</w:t>
      </w:r>
      <w:r>
        <w:rPr>
          <w:rFonts w:ascii="Times New Roman" w:hAnsi="Times New Roman" w:cs="Times New Roman"/>
          <w:szCs w:val="28"/>
        </w:rPr>
        <w:t xml:space="preserve">    </w:t>
      </w:r>
    </w:p>
    <w:p w:rsidR="003C73B4" w:rsidRDefault="003C73B4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</w:pPr>
    </w:p>
    <w:p w:rsidR="003C73B4" w:rsidRDefault="003C73B4">
      <w:pPr>
        <w:ind w:left="5103"/>
        <w:rPr>
          <w:bCs/>
          <w:szCs w:val="28"/>
        </w:rPr>
        <w:sectPr w:rsidR="003C73B4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14337"/>
        </w:sectPr>
      </w:pPr>
    </w:p>
    <w:p w:rsidR="003C73B4" w:rsidRDefault="00AF1715">
      <w:pPr>
        <w:ind w:left="10065"/>
      </w:pPr>
      <w:r>
        <w:rPr>
          <w:sz w:val="24"/>
        </w:rPr>
        <w:lastRenderedPageBreak/>
        <w:t>Утвержден</w:t>
      </w:r>
    </w:p>
    <w:p w:rsidR="003C73B4" w:rsidRDefault="00AF1715">
      <w:pPr>
        <w:ind w:left="10065"/>
      </w:pPr>
      <w:r>
        <w:rPr>
          <w:sz w:val="24"/>
        </w:rPr>
        <w:t xml:space="preserve">решением территориальной </w:t>
      </w:r>
    </w:p>
    <w:p w:rsidR="003C73B4" w:rsidRDefault="00AF1715">
      <w:pPr>
        <w:ind w:left="10065"/>
      </w:pPr>
      <w:r>
        <w:rPr>
          <w:sz w:val="24"/>
        </w:rPr>
        <w:t xml:space="preserve">избирательной комиссии </w:t>
      </w:r>
    </w:p>
    <w:p w:rsidR="003C73B4" w:rsidRDefault="00AF1715">
      <w:pPr>
        <w:ind w:left="10065"/>
      </w:pPr>
      <w:bookmarkStart w:id="0" w:name="__DdeLink__1117_55196750"/>
      <w:r>
        <w:rPr>
          <w:sz w:val="24"/>
        </w:rPr>
        <w:t>Залегощенского</w:t>
      </w:r>
      <w:bookmarkEnd w:id="0"/>
      <w:r>
        <w:rPr>
          <w:sz w:val="24"/>
        </w:rPr>
        <w:t xml:space="preserve"> района </w:t>
      </w:r>
    </w:p>
    <w:p w:rsidR="003C73B4" w:rsidRDefault="00AF1715">
      <w:pPr>
        <w:ind w:left="10065"/>
      </w:pPr>
      <w:r>
        <w:rPr>
          <w:sz w:val="24"/>
        </w:rPr>
        <w:t xml:space="preserve">от 9 февраля 2022 года № </w:t>
      </w:r>
      <w:r w:rsidR="00DA7C63">
        <w:rPr>
          <w:sz w:val="24"/>
        </w:rPr>
        <w:t>4</w:t>
      </w:r>
      <w:r>
        <w:rPr>
          <w:sz w:val="24"/>
        </w:rPr>
        <w:t>/1</w:t>
      </w:r>
      <w:r w:rsidR="00DA7C63">
        <w:rPr>
          <w:sz w:val="24"/>
        </w:rPr>
        <w:t>1</w:t>
      </w:r>
    </w:p>
    <w:p w:rsidR="003C73B4" w:rsidRDefault="003C73B4">
      <w:pPr>
        <w:widowControl w:val="0"/>
        <w:rPr>
          <w:b/>
          <w:bCs/>
          <w:sz w:val="24"/>
        </w:rPr>
      </w:pPr>
    </w:p>
    <w:p w:rsidR="003C73B4" w:rsidRDefault="003C73B4">
      <w:pPr>
        <w:pStyle w:val="aa"/>
        <w:spacing w:before="0" w:after="0"/>
        <w:rPr>
          <w:rFonts w:cs="Times New Roman"/>
          <w:b/>
        </w:rPr>
      </w:pPr>
    </w:p>
    <w:p w:rsidR="003C73B4" w:rsidRDefault="00AF1715">
      <w:pPr>
        <w:pStyle w:val="aa"/>
        <w:spacing w:before="0" w:after="0"/>
      </w:pPr>
      <w:r>
        <w:rPr>
          <w:rFonts w:cs="Times New Roman"/>
          <w:b/>
        </w:rPr>
        <w:t>План мероприятий</w:t>
      </w:r>
    </w:p>
    <w:p w:rsidR="003C73B4" w:rsidRDefault="00AF1715">
      <w:pPr>
        <w:pStyle w:val="aa"/>
        <w:spacing w:before="0" w:after="0"/>
      </w:pPr>
      <w:r>
        <w:rPr>
          <w:rFonts w:eastAsia="Calibri" w:cs="Times New Roman"/>
          <w:b/>
          <w:lang w:eastAsia="en-US"/>
        </w:rPr>
        <w:t xml:space="preserve">по обучению </w:t>
      </w:r>
      <w:r>
        <w:rPr>
          <w:rFonts w:cs="Times New Roman"/>
          <w:b/>
        </w:rPr>
        <w:t>организаторов выборов и иных участников избирательного процесса, повышению правовой культуры избирателей</w:t>
      </w:r>
      <w:r>
        <w:rPr>
          <w:rFonts w:eastAsia="Calibri" w:cs="Times New Roman"/>
          <w:b/>
          <w:lang w:eastAsia="en-US"/>
        </w:rPr>
        <w:t xml:space="preserve"> </w:t>
      </w:r>
      <w:r>
        <w:rPr>
          <w:rFonts w:cs="Times New Roman"/>
          <w:b/>
        </w:rPr>
        <w:t xml:space="preserve">(участников референдума) на территории Залегощенского района на 2022 год </w:t>
      </w:r>
    </w:p>
    <w:p w:rsidR="003C73B4" w:rsidRDefault="003C73B4">
      <w:pPr>
        <w:rPr>
          <w:b/>
          <w:bCs/>
        </w:rPr>
      </w:pPr>
    </w:p>
    <w:tbl>
      <w:tblPr>
        <w:tblW w:w="154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71"/>
        <w:gridCol w:w="7797"/>
        <w:gridCol w:w="4111"/>
        <w:gridCol w:w="2704"/>
      </w:tblGrid>
      <w:tr w:rsidR="003C73B4">
        <w:trPr>
          <w:trHeight w:val="539"/>
          <w:tblHeader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73B4" w:rsidRDefault="00AF1715">
            <w:r>
              <w:rPr>
                <w:b/>
                <w:sz w:val="24"/>
              </w:rPr>
              <w:t>№</w:t>
            </w:r>
          </w:p>
          <w:p w:rsidR="003C73B4" w:rsidRDefault="00AF1715">
            <w:r>
              <w:rPr>
                <w:b/>
                <w:sz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73B4" w:rsidRDefault="00AF1715"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73B4" w:rsidRDefault="00AF1715"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73B4" w:rsidRDefault="00AF1715"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3C73B4">
        <w:trPr>
          <w:trHeight w:val="511"/>
        </w:trPr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73B4" w:rsidRDefault="00AF1715">
            <w:pPr>
              <w:pStyle w:val="4"/>
              <w:numPr>
                <w:ilvl w:val="3"/>
                <w:numId w:val="1"/>
              </w:num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1. Обучение организаторов выборов и иных участников избирательного процесса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bCs/>
                <w:sz w:val="24"/>
              </w:rPr>
              <w:t xml:space="preserve">Участие в </w:t>
            </w:r>
            <w:r>
              <w:rPr>
                <w:sz w:val="24"/>
              </w:rPr>
              <w:t>тематических семинарах по вопросам, связанным с деятельностью ТИК (в том числе в режиме видеоконференции)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Обучение председателей, заместителей председателей и секретарей ТИК по основным изменениям в действующем законодательстве и практике его применения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Обучение членов территориальной избирательной комиссии Залегощенского района  (далее – ТИК с правом решающего </w:t>
            </w:r>
            <w:r>
              <w:rPr>
                <w:sz w:val="24"/>
              </w:rPr>
              <w:br/>
              <w:t>и совещательного голоса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sz w:val="24"/>
              </w:rPr>
              <w:t>в течение года в сроки, установленные Планом ТИК на 2022 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spacing w:line="216" w:lineRule="auto"/>
              <w:jc w:val="both"/>
            </w:pPr>
            <w:r>
              <w:rPr>
                <w:bCs/>
                <w:sz w:val="24"/>
              </w:rPr>
              <w:t xml:space="preserve">Обучение </w:t>
            </w:r>
            <w:r>
              <w:rPr>
                <w:sz w:val="24"/>
              </w:rPr>
              <w:t xml:space="preserve">членов участковых избирательных комиссий Залегощенского района (далее  – УИК), резерва составов УИК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 в сроки, установленные Планом ТИК на 2022 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spacing w:line="216" w:lineRule="auto"/>
              <w:jc w:val="both"/>
            </w:pPr>
            <w:r>
              <w:rPr>
                <w:sz w:val="24"/>
              </w:rPr>
              <w:t>Обучение по учебной программе «Правовые основы избирательного процесса и организации работы участковой избирательной комиссии</w:t>
            </w:r>
            <w:r>
              <w:rPr>
                <w:bCs/>
                <w:sz w:val="24"/>
              </w:rPr>
              <w:t xml:space="preserve">», в том числе с использованием </w:t>
            </w:r>
            <w:r>
              <w:rPr>
                <w:sz w:val="24"/>
              </w:rPr>
              <w:t xml:space="preserve">учебно-методического комплекса ЦИК России «Избирательное право и избирательный процесс в Российской </w:t>
            </w:r>
            <w:r>
              <w:rPr>
                <w:sz w:val="24"/>
              </w:rPr>
              <w:lastRenderedPageBreak/>
              <w:t>Федерации»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spacing w:line="216" w:lineRule="auto"/>
              <w:jc w:val="both"/>
            </w:pPr>
            <w:r>
              <w:rPr>
                <w:sz w:val="24"/>
              </w:rPr>
              <w:t xml:space="preserve">Организация и проведение обучающих мероприятий с членами участковых избирательных комиссий (далее – УИК) по вопросам </w:t>
            </w:r>
            <w:r>
              <w:rPr>
                <w:bCs/>
                <w:sz w:val="24"/>
              </w:rPr>
              <w:t xml:space="preserve">подготовки и проведения выборов в единый день голосования   </w:t>
            </w:r>
          </w:p>
          <w:p w:rsidR="003C73B4" w:rsidRDefault="003C73B4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rFonts w:eastAsia="Calibri"/>
                <w:sz w:val="24"/>
                <w:lang w:eastAsia="en-US"/>
              </w:rPr>
              <w:t>июль-сентябрь</w:t>
            </w:r>
          </w:p>
          <w:p w:rsidR="003C73B4" w:rsidRDefault="00AF1715">
            <w:pPr>
              <w:widowControl w:val="0"/>
            </w:pPr>
            <w:r>
              <w:rPr>
                <w:rFonts w:eastAsia="Calibri"/>
                <w:sz w:val="24"/>
                <w:lang w:eastAsia="en-US"/>
              </w:rPr>
              <w:t>по планам ТИК на 2022 год</w:t>
            </w:r>
          </w:p>
          <w:p w:rsidR="003C73B4" w:rsidRDefault="003C73B4">
            <w:pPr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jc w:val="both"/>
            </w:pPr>
            <w:r>
              <w:rPr>
                <w:sz w:val="24"/>
              </w:rPr>
              <w:t>Оказание правовой и методической помощи участковым избирательным комиссиям Залегощенского района при подготовке и проведении выборов в органы местного самоуправления</w:t>
            </w:r>
          </w:p>
          <w:p w:rsidR="003C73B4" w:rsidRDefault="003C73B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sz w:val="24"/>
              </w:rPr>
              <w:t>июль-сентябрь</w:t>
            </w:r>
          </w:p>
          <w:p w:rsidR="003C73B4" w:rsidRDefault="00AF1715">
            <w:pPr>
              <w:widowControl w:val="0"/>
            </w:pPr>
            <w:r>
              <w:rPr>
                <w:rFonts w:eastAsia="Calibri"/>
                <w:sz w:val="24"/>
                <w:lang w:eastAsia="en-US"/>
              </w:rPr>
              <w:t>по планам ТИК на 2022 год</w:t>
            </w:r>
          </w:p>
          <w:p w:rsidR="003C73B4" w:rsidRDefault="003C73B4">
            <w:pPr>
              <w:widowControl w:val="0"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  <w:p w:rsidR="003C73B4" w:rsidRDefault="00AF1715">
            <w:pPr>
              <w:widowControl w:val="0"/>
            </w:pPr>
            <w:r>
              <w:rPr>
                <w:sz w:val="24"/>
              </w:rPr>
              <w:t>СА КСА ТИК</w:t>
            </w:r>
          </w:p>
        </w:tc>
      </w:tr>
      <w:tr w:rsidR="003C73B4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3C73B4">
            <w:pPr>
              <w:pStyle w:val="4"/>
              <w:numPr>
                <w:ilvl w:val="3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C73B4" w:rsidRDefault="00AF1715">
            <w:pPr>
              <w:pStyle w:val="4"/>
              <w:numPr>
                <w:ilvl w:val="3"/>
                <w:numId w:val="1"/>
              </w:num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правовой культуры различных категорий избирателей и других участников избирательного процесса, информационно-разъяснительная деятельность, мониторинг электоральной активности населения, совершенствование и развитие информационных технологий</w:t>
            </w:r>
          </w:p>
          <w:p w:rsidR="003C73B4" w:rsidRDefault="003C73B4">
            <w:pPr>
              <w:rPr>
                <w:sz w:val="24"/>
              </w:rPr>
            </w:pP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bCs/>
                <w:sz w:val="24"/>
              </w:rPr>
              <w:t xml:space="preserve">Проведение заседаний </w:t>
            </w:r>
            <w:r>
              <w:rPr>
                <w:sz w:val="24"/>
              </w:rPr>
              <w:t xml:space="preserve">клуба </w:t>
            </w:r>
            <w:r>
              <w:rPr>
                <w:bCs/>
                <w:sz w:val="24"/>
              </w:rPr>
              <w:t>избирателей «Я и Выборы»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rFonts w:eastAsia="Calibri"/>
                <w:sz w:val="24"/>
                <w:lang w:eastAsia="en-US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Проведение Дня молодого избирателя в Залегощенского районе в 2022 году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rFonts w:eastAsia="Calibri"/>
                <w:sz w:val="24"/>
                <w:lang w:eastAsia="en-US"/>
              </w:rPr>
              <w:t>май, 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bCs/>
                <w:sz w:val="24"/>
              </w:rPr>
              <w:t xml:space="preserve">Организация и проведение творческих конкурсов для молодых </w:t>
            </w:r>
            <w:r>
              <w:rPr>
                <w:sz w:val="24"/>
              </w:rPr>
              <w:t xml:space="preserve">и будущих избирателей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bCs/>
                <w:sz w:val="24"/>
              </w:rPr>
              <w:t>Организация и проведение летне</w:t>
            </w:r>
            <w:r>
              <w:rPr>
                <w:sz w:val="24"/>
              </w:rPr>
              <w:t>й школы избирательного права.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rFonts w:eastAsia="Calibri"/>
                <w:sz w:val="24"/>
                <w:lang w:eastAsia="en-US"/>
              </w:rPr>
              <w:t>июль-август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snapToGrid w:val="0"/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  <w:jc w:val="both"/>
            </w:pPr>
            <w:r>
              <w:rPr>
                <w:sz w:val="24"/>
              </w:rPr>
              <w:t xml:space="preserve">Взаимодействие со СМИ по вопросам освещения деятельности организаторов выборов </w:t>
            </w:r>
          </w:p>
          <w:p w:rsidR="003C73B4" w:rsidRDefault="003C73B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Наполнение базы данных фото -, аудио-и видеоматериалов по итогам обучающих и иных мероприятий ТИК Залегощенского района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widowControl w:val="0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Участие в семинарах, совещаниях, конференциях, конкурсах и иных </w:t>
            </w:r>
            <w:r>
              <w:rPr>
                <w:sz w:val="24"/>
              </w:rPr>
              <w:lastRenderedPageBreak/>
              <w:t xml:space="preserve">мероприятиях в соответствии с утвержденными ЦИК России   Концепцией повышения правовой культуры избирателей в Российской Федерации на 2022–2024 годы,  Планом работы Центральной избирательной комиссии Российской Федерации на 2022 год, </w:t>
            </w:r>
            <w:r>
              <w:rPr>
                <w:rStyle w:val="a9"/>
                <w:rFonts w:cs="Times New Roman"/>
                <w:b w:val="0"/>
                <w:sz w:val="24"/>
                <w:szCs w:val="24"/>
                <w:shd w:val="clear" w:color="auto" w:fill="FFFFFF"/>
              </w:rPr>
              <w:t>Сводным планом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2022 год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Участие в творческих конкурсах для молодых и будущих избирателей, приуроченных ко Дню молодого избирателя в Орловской области:</w:t>
            </w:r>
          </w:p>
          <w:p w:rsidR="003C73B4" w:rsidRDefault="00AF1715">
            <w:pPr>
              <w:ind w:firstLine="688"/>
              <w:jc w:val="both"/>
            </w:pPr>
            <w:r>
              <w:rPr>
                <w:sz w:val="24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4"/>
              </w:rPr>
              <w:t>конкурсе «Мои выборы» среди молодых и будущих избирателей в 2022 году</w:t>
            </w:r>
            <w:r>
              <w:rPr>
                <w:sz w:val="24"/>
              </w:rPr>
              <w:t>;</w:t>
            </w:r>
          </w:p>
          <w:p w:rsidR="003C73B4" w:rsidRDefault="00AF1715">
            <w:pPr>
              <w:pStyle w:val="14-1"/>
              <w:widowControl w:val="0"/>
              <w:spacing w:line="240" w:lineRule="auto"/>
            </w:pPr>
            <w:r>
              <w:rPr>
                <w:bCs/>
                <w:sz w:val="24"/>
                <w:szCs w:val="24"/>
              </w:rPr>
              <w:t>-интернет-викторине «Время выбирать» среди молодых и будущих избирателей в 2022 году</w:t>
            </w:r>
          </w:p>
          <w:p w:rsidR="003C73B4" w:rsidRDefault="003C73B4">
            <w:pPr>
              <w:pStyle w:val="14-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Организация и проведение мероприятий, направленных на повышение правовой культуры различных категорий избирателей, приуроченных ко Дню народного единства, Дню Конституции Российской Федерации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октябрь-декабрь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3C73B4">
            <w:pPr>
              <w:rPr>
                <w:sz w:val="24"/>
              </w:rPr>
            </w:pP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Организация участия в  электоральном диктанте среди молодых и будущих избирателей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август-октябрь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Организация и проведение семинаров, круглых столов иных мероприятий по актуальным проблемам избирательного права и избирательного процесса, правоприменительной практики,  вопросам, связанным с повышением правовой культуры избирателей, развитием избирательной системы, совершенствованием избирательного законодательства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Проведение политико-правовых игр для молодых и будущих избирателей Залегощенского района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rFonts w:eastAsia="Calibri"/>
                <w:sz w:val="24"/>
                <w:lang w:eastAsia="en-US"/>
              </w:rPr>
              <w:t>Мониторинг и анализ информационных событий по вопросам избирательного  процесса в социальных медиа и сетевых изданиях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ежеквартально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Взаимодействие с библиотеками Залегощенского района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 (референдума)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 xml:space="preserve">Наполнение сайта ТИК Залегощенского района в информационно-телекоммуникационной сети «Интернет» 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в течение года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</w:tc>
      </w:tr>
      <w:tr w:rsidR="003C73B4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Мероприятия к единому дню голосования 11 сентября 2022 года</w:t>
            </w:r>
            <w:r>
              <w:rPr>
                <w:sz w:val="24"/>
              </w:rPr>
              <w:t xml:space="preserve"> 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Организация и проведение Дней открытых дверей в избирательных комиссиях Залегощенского района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март-апрель, август-сентябрь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hd w:val="clear" w:color="auto" w:fill="FFFFFF"/>
              <w:jc w:val="both"/>
            </w:pPr>
            <w:r>
              <w:rPr>
                <w:color w:val="000000"/>
                <w:sz w:val="24"/>
              </w:rPr>
              <w:t xml:space="preserve">Сбор фото- и видеоматериалов о ходе голосования в единый день голосования </w:t>
            </w:r>
          </w:p>
          <w:p w:rsidR="003C73B4" w:rsidRDefault="003C73B4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rFonts w:eastAsia="Calibri"/>
                <w:sz w:val="24"/>
                <w:lang w:eastAsia="en-US"/>
              </w:rPr>
              <w:t xml:space="preserve">Подготовка сведений для мониторинга информационных материалов, размещенных в региональных </w:t>
            </w:r>
            <w:r>
              <w:rPr>
                <w:sz w:val="24"/>
              </w:rPr>
              <w:t>СМИ</w:t>
            </w:r>
            <w:r>
              <w:rPr>
                <w:rFonts w:eastAsia="Calibri"/>
                <w:sz w:val="24"/>
                <w:lang w:eastAsia="en-US"/>
              </w:rPr>
              <w:t xml:space="preserve"> по освещению деятельности избирательных комиссий Орловской области в ходе подготовки и проведения выборов в единый день голосования </w:t>
            </w:r>
          </w:p>
          <w:p w:rsidR="003C73B4" w:rsidRDefault="003C73B4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Размещение информационно-разъяснительных материалов на сайте  ТИК для организаторов и участников выборов под баннером «Единый день голосования 11 сентября 2022 года»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июнь-сентябрь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jc w:val="both"/>
            </w:pPr>
            <w:r>
              <w:rPr>
                <w:sz w:val="24"/>
              </w:rPr>
              <w:t>Мониторинг электоральной активности молодых избирателей в Орловской области, в том числе впервые голосующих избирателей</w:t>
            </w:r>
          </w:p>
          <w:p w:rsidR="003C73B4" w:rsidRDefault="003C73B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  <w:tr w:rsidR="003C73B4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pPr>
              <w:snapToGrid w:val="0"/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Участие в образовательной акции «Электоральный диктант» в 2022 году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август-октябрь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73B4" w:rsidRDefault="00AF1715">
            <w:r>
              <w:rPr>
                <w:sz w:val="24"/>
              </w:rPr>
              <w:t>Председатель ТИК</w:t>
            </w:r>
          </w:p>
          <w:p w:rsidR="003C73B4" w:rsidRDefault="00AF1715">
            <w:r>
              <w:rPr>
                <w:sz w:val="24"/>
              </w:rPr>
              <w:t>Секретарь ТИК</w:t>
            </w:r>
          </w:p>
        </w:tc>
      </w:tr>
    </w:tbl>
    <w:p w:rsidR="003C73B4" w:rsidRDefault="003C73B4"/>
    <w:p w:rsidR="003C73B4" w:rsidRDefault="003C73B4">
      <w:pPr>
        <w:widowControl w:val="0"/>
        <w:ind w:left="5103"/>
        <w:rPr>
          <w:bCs/>
          <w:szCs w:val="28"/>
        </w:rPr>
      </w:pPr>
    </w:p>
    <w:sectPr w:rsidR="003C73B4" w:rsidSect="003C73B4">
      <w:headerReference w:type="default" r:id="rId9"/>
      <w:headerReference w:type="first" r:id="rId10"/>
      <w:pgSz w:w="16838" w:h="11906" w:orient="landscape"/>
      <w:pgMar w:top="1701" w:right="1134" w:bottom="851" w:left="1134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B4" w:rsidRDefault="003C73B4" w:rsidP="003C73B4">
      <w:r>
        <w:separator/>
      </w:r>
    </w:p>
  </w:endnote>
  <w:endnote w:type="continuationSeparator" w:id="0">
    <w:p w:rsidR="003C73B4" w:rsidRDefault="003C73B4" w:rsidP="003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B4" w:rsidRDefault="003C73B4" w:rsidP="003C73B4">
      <w:r>
        <w:separator/>
      </w:r>
    </w:p>
  </w:footnote>
  <w:footnote w:type="continuationSeparator" w:id="0">
    <w:p w:rsidR="003C73B4" w:rsidRDefault="003C73B4" w:rsidP="003C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B4" w:rsidRDefault="003C73B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B4" w:rsidRDefault="003C73B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71C2"/>
    <w:multiLevelType w:val="multilevel"/>
    <w:tmpl w:val="D1FEA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EB4A3C"/>
    <w:multiLevelType w:val="multilevel"/>
    <w:tmpl w:val="5C7C89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B4"/>
    <w:rsid w:val="003C73B4"/>
    <w:rsid w:val="0090003B"/>
    <w:rsid w:val="00AF1715"/>
    <w:rsid w:val="00D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3C73B4"/>
    <w:rPr>
      <w:rFonts w:eastAsia="Times New Roman" w:cs="Times New Roman"/>
    </w:rPr>
  </w:style>
  <w:style w:type="character" w:customStyle="1" w:styleId="ListLabel2">
    <w:name w:val="ListLabel 2"/>
    <w:qFormat/>
    <w:rsid w:val="003C73B4"/>
    <w:rPr>
      <w:rFonts w:cs="Times New Roman"/>
    </w:rPr>
  </w:style>
  <w:style w:type="character" w:customStyle="1" w:styleId="ListLabel3">
    <w:name w:val="ListLabel 3"/>
    <w:qFormat/>
    <w:rsid w:val="003C73B4"/>
    <w:rPr>
      <w:rFonts w:eastAsia="Arial Unicode MS" w:cs="Times New Roman"/>
    </w:rPr>
  </w:style>
  <w:style w:type="character" w:customStyle="1" w:styleId="ListLabel4">
    <w:name w:val="ListLabel 4"/>
    <w:qFormat/>
    <w:rsid w:val="003C73B4"/>
    <w:rPr>
      <w:rFonts w:cs="Symbol"/>
    </w:rPr>
  </w:style>
  <w:style w:type="character" w:customStyle="1" w:styleId="11">
    <w:name w:val="Основной текст1"/>
    <w:basedOn w:val="a0"/>
    <w:qFormat/>
    <w:rsid w:val="003C73B4"/>
    <w:rPr>
      <w:color w:val="000000"/>
      <w:spacing w:val="0"/>
      <w:w w:val="100"/>
      <w:sz w:val="25"/>
      <w:szCs w:val="25"/>
      <w:shd w:val="clear" w:color="auto" w:fill="FFFFFF"/>
      <w:lang w:val="ru-RU"/>
    </w:rPr>
  </w:style>
  <w:style w:type="paragraph" w:customStyle="1" w:styleId="aa">
    <w:name w:val="Заголовок"/>
    <w:basedOn w:val="a"/>
    <w:next w:val="ab"/>
    <w:qFormat/>
    <w:rsid w:val="003C73B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3C73B4"/>
    <w:rPr>
      <w:rFonts w:cs="FreeSans"/>
    </w:rPr>
  </w:style>
  <w:style w:type="paragraph" w:styleId="ad">
    <w:name w:val="Title"/>
    <w:basedOn w:val="a"/>
    <w:rsid w:val="003C73B4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3C73B4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3C73B4"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3C73B4"/>
    <w:pPr>
      <w:spacing w:after="120" w:line="480" w:lineRule="auto"/>
    </w:pPr>
  </w:style>
  <w:style w:type="paragraph" w:customStyle="1" w:styleId="af9">
    <w:name w:val="Содержимое таблицы"/>
    <w:basedOn w:val="a"/>
    <w:qFormat/>
    <w:rsid w:val="003C73B4"/>
  </w:style>
  <w:style w:type="paragraph" w:customStyle="1" w:styleId="afa">
    <w:name w:val="Заголовок таблицы"/>
    <w:basedOn w:val="af9"/>
    <w:qFormat/>
    <w:rsid w:val="003C73B4"/>
  </w:style>
  <w:style w:type="paragraph" w:customStyle="1" w:styleId="12">
    <w:name w:val="Обычный1"/>
    <w:qFormat/>
    <w:rsid w:val="003C73B4"/>
    <w:pPr>
      <w:widowControl w:val="0"/>
      <w:spacing w:line="276" w:lineRule="auto"/>
      <w:ind w:firstLine="700"/>
    </w:pPr>
    <w:rPr>
      <w:rFonts w:ascii="Arial" w:hAnsi="Arial"/>
      <w:color w:val="00000A"/>
    </w:rPr>
  </w:style>
  <w:style w:type="paragraph" w:customStyle="1" w:styleId="33">
    <w:name w:val="Основной текст3"/>
    <w:basedOn w:val="a"/>
    <w:qFormat/>
    <w:rsid w:val="003C73B4"/>
    <w:pPr>
      <w:widowControl w:val="0"/>
      <w:shd w:val="clear" w:color="auto" w:fill="FFFFFF"/>
      <w:spacing w:line="480" w:lineRule="exact"/>
    </w:pPr>
    <w:rPr>
      <w:color w:val="000000"/>
      <w:sz w:val="26"/>
      <w:szCs w:val="26"/>
    </w:rPr>
  </w:style>
  <w:style w:type="paragraph" w:customStyle="1" w:styleId="Standard">
    <w:name w:val="Standard"/>
    <w:qFormat/>
    <w:rsid w:val="003C73B4"/>
    <w:pPr>
      <w:suppressAutoHyphens/>
      <w:jc w:val="center"/>
      <w:textAlignment w:val="baseline"/>
    </w:pPr>
    <w:rPr>
      <w:color w:val="00000A"/>
      <w:sz w:val="28"/>
      <w:szCs w:val="24"/>
      <w:lang w:eastAsia="zh-CN"/>
    </w:rPr>
  </w:style>
  <w:style w:type="paragraph" w:customStyle="1" w:styleId="afb">
    <w:name w:val="Заглавие"/>
    <w:basedOn w:val="a"/>
    <w:rsid w:val="003C73B4"/>
    <w:pPr>
      <w:ind w:firstLine="709"/>
    </w:pPr>
    <w:rPr>
      <w:b/>
      <w:sz w:val="24"/>
      <w:szCs w:val="20"/>
    </w:rPr>
  </w:style>
  <w:style w:type="table" w:styleId="afc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5EB3-32B5-464F-8B86-6E65F37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1343</Words>
  <Characters>7656</Characters>
  <Application>Microsoft Office Word</Application>
  <DocSecurity>0</DocSecurity>
  <Lines>63</Lines>
  <Paragraphs>17</Paragraphs>
  <ScaleCrop>false</ScaleCrop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83</cp:revision>
  <cp:lastPrinted>2014-12-24T06:50:00Z</cp:lastPrinted>
  <dcterms:created xsi:type="dcterms:W3CDTF">2016-03-29T06:44:00Z</dcterms:created>
  <dcterms:modified xsi:type="dcterms:W3CDTF">2022-02-21T07:47:00Z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