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3" w:rsidRPr="008D6A70" w:rsidRDefault="00122507">
      <w:pPr>
        <w:jc w:val="both"/>
      </w:pPr>
      <w:r w:rsidRPr="008D6A70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33" w:rsidRPr="008D6A70" w:rsidRDefault="00694E33">
      <w:pPr>
        <w:ind w:left="4536"/>
      </w:pPr>
    </w:p>
    <w:p w:rsidR="00694E33" w:rsidRDefault="00694E33">
      <w:pPr>
        <w:rPr>
          <w:b/>
          <w:bCs/>
          <w:color w:val="000000"/>
          <w:szCs w:val="28"/>
        </w:rPr>
      </w:pPr>
    </w:p>
    <w:p w:rsidR="00694E33" w:rsidRDefault="00122507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694E33" w:rsidRDefault="00694E33">
      <w:pPr>
        <w:rPr>
          <w:b/>
          <w:bCs/>
          <w:color w:val="000000"/>
          <w:sz w:val="32"/>
          <w:szCs w:val="32"/>
        </w:rPr>
      </w:pPr>
    </w:p>
    <w:p w:rsidR="00694E33" w:rsidRDefault="00122507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94E33" w:rsidRDefault="00122507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94E33" w:rsidRDefault="00694E33">
      <w:pPr>
        <w:rPr>
          <w:color w:val="000000"/>
        </w:rPr>
      </w:pPr>
    </w:p>
    <w:p w:rsidR="00694E33" w:rsidRDefault="00122507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694E33" w:rsidTr="00122507">
        <w:tc>
          <w:tcPr>
            <w:tcW w:w="3249" w:type="dxa"/>
            <w:shd w:val="clear" w:color="auto" w:fill="auto"/>
          </w:tcPr>
          <w:p w:rsidR="00694E33" w:rsidRDefault="00122507">
            <w:pPr>
              <w:jc w:val="both"/>
            </w:pPr>
            <w:r>
              <w:rPr>
                <w:lang w:val="en-US"/>
              </w:rPr>
              <w:t>9 февраля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shd w:val="clear" w:color="auto" w:fill="auto"/>
          </w:tcPr>
          <w:p w:rsidR="00694E33" w:rsidRDefault="00122507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694E33" w:rsidRDefault="008D6A70" w:rsidP="008D6A70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4</w:t>
            </w:r>
            <w:r w:rsidR="00122507">
              <w:rPr>
                <w:rFonts w:ascii="Nimbus Roman No9 L" w:hAnsi="Nimbus Roman No9 L"/>
                <w:szCs w:val="28"/>
              </w:rPr>
              <w:t>/1</w:t>
            </w:r>
            <w:r>
              <w:rPr>
                <w:rFonts w:ascii="Nimbus Roman No9 L" w:hAnsi="Nimbus Roman No9 L"/>
                <w:szCs w:val="28"/>
              </w:rPr>
              <w:t>2</w:t>
            </w:r>
          </w:p>
        </w:tc>
      </w:tr>
    </w:tbl>
    <w:p w:rsidR="00694E33" w:rsidRDefault="00694E33">
      <w:pPr>
        <w:pStyle w:val="af7"/>
      </w:pPr>
    </w:p>
    <w:p w:rsidR="00694E33" w:rsidRDefault="00122507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694E33" w:rsidRDefault="00694E33">
      <w:pPr>
        <w:ind w:hanging="108"/>
        <w:jc w:val="both"/>
        <w:rPr>
          <w:szCs w:val="28"/>
        </w:rPr>
      </w:pPr>
    </w:p>
    <w:p w:rsidR="00694E33" w:rsidRDefault="00122507">
      <w:r>
        <w:rPr>
          <w:szCs w:val="28"/>
        </w:rPr>
        <w:t xml:space="preserve">  </w:t>
      </w:r>
      <w:r>
        <w:rPr>
          <w:b/>
          <w:szCs w:val="28"/>
        </w:rPr>
        <w:t xml:space="preserve">О Плане организации обучения кадров  избирательных комиссий и других  участников избирательного (референдумного) процесса </w:t>
      </w:r>
    </w:p>
    <w:p w:rsidR="00694E33" w:rsidRDefault="00122507">
      <w:r>
        <w:rPr>
          <w:b/>
          <w:szCs w:val="28"/>
        </w:rPr>
        <w:t xml:space="preserve">на территории  Залегощенского района  </w:t>
      </w:r>
      <w:r>
        <w:rPr>
          <w:b/>
        </w:rPr>
        <w:t>на 2022 год</w:t>
      </w:r>
    </w:p>
    <w:p w:rsidR="00694E33" w:rsidRDefault="00694E33">
      <w:pPr>
        <w:rPr>
          <w:szCs w:val="28"/>
        </w:rPr>
      </w:pPr>
    </w:p>
    <w:p w:rsidR="00694E33" w:rsidRDefault="00122507">
      <w:pPr>
        <w:pStyle w:val="afb"/>
        <w:spacing w:line="360" w:lineRule="auto"/>
        <w:jc w:val="both"/>
      </w:pPr>
      <w:r>
        <w:rPr>
          <w:b w:val="0"/>
          <w:sz w:val="28"/>
          <w:szCs w:val="24"/>
        </w:rPr>
        <w:t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 27 января 2022 года № 3/13-7 «О Плане мероприятий по обучению членов избирательных комиссий и иных участников избирательного процесса, повышению правовой культуры избирателей (участников референдума) на территории Орловской области на 2022 год», во исполнение решения территориальной избирательной комиссии Залегощенского района от 9 февраля 2022 года № 3/9  «О Плане работы территориальной избирательной комиссии Залегощенского района на 2022 год», территориальная избирательная комиссия Залегощенского района РЕШИЛА:</w:t>
      </w:r>
    </w:p>
    <w:p w:rsidR="00694E33" w:rsidRDefault="00122507">
      <w:pPr>
        <w:spacing w:line="360" w:lineRule="auto"/>
        <w:ind w:firstLine="705"/>
        <w:jc w:val="both"/>
      </w:pPr>
      <w:r>
        <w:t xml:space="preserve">1. </w:t>
      </w:r>
      <w:r>
        <w:rPr>
          <w:bCs/>
          <w:szCs w:val="28"/>
        </w:rPr>
        <w:t xml:space="preserve">Утвердить План организации обучения кадров  избирательных комиссий и других  участников избирательного (референдумного) процесса на территории  </w:t>
      </w:r>
      <w:r>
        <w:rPr>
          <w:bCs/>
        </w:rPr>
        <w:t>Залегощенского</w:t>
      </w:r>
      <w:r>
        <w:rPr>
          <w:bCs/>
          <w:szCs w:val="28"/>
        </w:rPr>
        <w:t xml:space="preserve"> района</w:t>
      </w:r>
      <w:r>
        <w:t xml:space="preserve"> (прилагается).</w:t>
      </w:r>
      <w:r>
        <w:tab/>
      </w:r>
    </w:p>
    <w:p w:rsidR="00694E33" w:rsidRDefault="00122507">
      <w:pPr>
        <w:spacing w:line="360" w:lineRule="auto"/>
        <w:ind w:firstLine="709"/>
        <w:jc w:val="both"/>
      </w:pPr>
      <w:r>
        <w:rPr>
          <w:bCs/>
          <w:szCs w:val="28"/>
        </w:rPr>
        <w:t xml:space="preserve">2. Размещать информацию о проведенных обучающих мероприятиях на </w:t>
      </w:r>
    </w:p>
    <w:p w:rsidR="00694E33" w:rsidRDefault="00122507">
      <w:pPr>
        <w:spacing w:line="360" w:lineRule="auto"/>
        <w:jc w:val="both"/>
      </w:pPr>
      <w:r>
        <w:rPr>
          <w:bCs/>
          <w:szCs w:val="28"/>
        </w:rPr>
        <w:lastRenderedPageBreak/>
        <w:t xml:space="preserve">сайте территориальной избирательной комиссии </w:t>
      </w:r>
      <w:r>
        <w:rPr>
          <w:bCs/>
        </w:rPr>
        <w:t>Залегощенского</w:t>
      </w:r>
      <w:r>
        <w:rPr>
          <w:bCs/>
          <w:szCs w:val="28"/>
        </w:rPr>
        <w:t xml:space="preserve"> района. </w:t>
      </w:r>
    </w:p>
    <w:p w:rsidR="00694E33" w:rsidRDefault="00122507">
      <w:pPr>
        <w:spacing w:line="360" w:lineRule="auto"/>
        <w:ind w:firstLine="709"/>
        <w:jc w:val="both"/>
      </w:pPr>
      <w:r>
        <w:rPr>
          <w:bCs/>
          <w:szCs w:val="28"/>
        </w:rPr>
        <w:t>3. 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694E33" w:rsidRDefault="00122507">
      <w:pPr>
        <w:spacing w:line="360" w:lineRule="auto"/>
        <w:ind w:firstLine="705"/>
        <w:jc w:val="both"/>
      </w:pPr>
      <w:r>
        <w:rPr>
          <w:bCs/>
          <w:szCs w:val="28"/>
        </w:rPr>
        <w:t xml:space="preserve">4. Контроль за выполнением настоящего решения возложить на секретаря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Соколенко И.Е.</w:t>
      </w:r>
    </w:p>
    <w:p w:rsidR="00694E33" w:rsidRDefault="00122507">
      <w:pPr>
        <w:spacing w:line="360" w:lineRule="auto"/>
        <w:ind w:firstLine="705"/>
        <w:jc w:val="both"/>
      </w:pPr>
      <w:r>
        <w:rPr>
          <w:bCs/>
          <w:szCs w:val="28"/>
        </w:rPr>
        <w:t xml:space="preserve">5. Разместить данное решение на сайте территориальной избирательной комиссии </w:t>
      </w:r>
      <w:r>
        <w:rPr>
          <w:szCs w:val="28"/>
        </w:rPr>
        <w:t>Залегощенского</w:t>
      </w:r>
      <w:r>
        <w:rPr>
          <w:bCs/>
          <w:szCs w:val="28"/>
        </w:rPr>
        <w:t xml:space="preserve"> района в информационно-телекоммуникационной сети «Интернет».</w:t>
      </w:r>
    </w:p>
    <w:p w:rsidR="00694E33" w:rsidRDefault="00694E33">
      <w:pPr>
        <w:spacing w:line="360" w:lineRule="auto"/>
        <w:rPr>
          <w:szCs w:val="28"/>
        </w:rPr>
      </w:pPr>
    </w:p>
    <w:p w:rsidR="00694E33" w:rsidRDefault="00694E33">
      <w:pPr>
        <w:spacing w:line="276" w:lineRule="auto"/>
        <w:rPr>
          <w:szCs w:val="28"/>
        </w:rPr>
      </w:pPr>
    </w:p>
    <w:p w:rsidR="00694E33" w:rsidRDefault="00122507">
      <w:pPr>
        <w:pStyle w:val="ConsPlusNonformat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Председатель  ТИК                                             О.В.Назаркина     </w:t>
      </w:r>
    </w:p>
    <w:p w:rsidR="00694E33" w:rsidRDefault="00122507">
      <w:pPr>
        <w:pStyle w:val="ConsPlusNonformat"/>
        <w:spacing w:line="276" w:lineRule="auto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694E33" w:rsidRDefault="00CF5B6F" w:rsidP="00CF5B6F">
      <w:pPr>
        <w:pStyle w:val="ConsPlusNonformat"/>
        <w:spacing w:line="276" w:lineRule="auto"/>
      </w:pPr>
      <w:r>
        <w:rPr>
          <w:rFonts w:ascii="Nimbus Roman No9 L" w:hAnsi="Nimbus Roman No9 L" w:cs="Times New Roman"/>
          <w:szCs w:val="28"/>
        </w:rPr>
        <w:t xml:space="preserve">           </w:t>
      </w:r>
      <w:r w:rsidR="00122507">
        <w:rPr>
          <w:rFonts w:ascii="Nimbus Roman No9 L" w:hAnsi="Nimbus Roman No9 L" w:cs="Times New Roman"/>
          <w:szCs w:val="28"/>
        </w:rPr>
        <w:t>Секретарь ТИК                                                   И.Е. Соколенко</w:t>
      </w:r>
      <w:r w:rsidR="00122507">
        <w:rPr>
          <w:rFonts w:ascii="Times New Roman" w:hAnsi="Times New Roman" w:cs="Times New Roman"/>
          <w:szCs w:val="28"/>
        </w:rPr>
        <w:t xml:space="preserve">    </w:t>
      </w:r>
    </w:p>
    <w:p w:rsidR="00694E33" w:rsidRDefault="00694E33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</w:pPr>
    </w:p>
    <w:p w:rsidR="00694E33" w:rsidRDefault="00694E33">
      <w:pPr>
        <w:ind w:left="5103"/>
        <w:rPr>
          <w:bCs/>
          <w:szCs w:val="28"/>
        </w:rPr>
        <w:sectPr w:rsidR="00694E33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14337"/>
        </w:sectPr>
      </w:pPr>
    </w:p>
    <w:p w:rsidR="00694E33" w:rsidRDefault="00122507">
      <w:pPr>
        <w:ind w:left="10065"/>
      </w:pPr>
      <w:r>
        <w:rPr>
          <w:sz w:val="24"/>
        </w:rPr>
        <w:lastRenderedPageBreak/>
        <w:t>Утвержден</w:t>
      </w:r>
    </w:p>
    <w:p w:rsidR="00694E33" w:rsidRDefault="00122507">
      <w:pPr>
        <w:ind w:left="10065"/>
      </w:pPr>
      <w:r>
        <w:rPr>
          <w:sz w:val="24"/>
        </w:rPr>
        <w:t xml:space="preserve">решением территориальной </w:t>
      </w:r>
    </w:p>
    <w:p w:rsidR="00694E33" w:rsidRDefault="00122507">
      <w:pPr>
        <w:ind w:left="10065"/>
      </w:pPr>
      <w:r>
        <w:rPr>
          <w:sz w:val="24"/>
        </w:rPr>
        <w:t xml:space="preserve">избирательной комиссии </w:t>
      </w:r>
    </w:p>
    <w:p w:rsidR="00694E33" w:rsidRDefault="00122507">
      <w:pPr>
        <w:ind w:left="10065"/>
      </w:pPr>
      <w:r>
        <w:t>Залегощенского</w:t>
      </w:r>
      <w:r>
        <w:rPr>
          <w:sz w:val="24"/>
        </w:rPr>
        <w:t xml:space="preserve"> района </w:t>
      </w:r>
    </w:p>
    <w:p w:rsidR="00694E33" w:rsidRDefault="00122507">
      <w:pPr>
        <w:ind w:left="10065"/>
      </w:pPr>
      <w:r>
        <w:rPr>
          <w:sz w:val="24"/>
        </w:rPr>
        <w:t xml:space="preserve">от 9 февраля 2022 года № </w:t>
      </w:r>
      <w:r w:rsidR="00DB59A9">
        <w:rPr>
          <w:sz w:val="24"/>
        </w:rPr>
        <w:t>4</w:t>
      </w:r>
      <w:r>
        <w:rPr>
          <w:sz w:val="24"/>
        </w:rPr>
        <w:t>/1</w:t>
      </w:r>
      <w:r w:rsidR="00DB59A9">
        <w:rPr>
          <w:sz w:val="24"/>
        </w:rPr>
        <w:t>2</w:t>
      </w:r>
    </w:p>
    <w:p w:rsidR="00694E33" w:rsidRDefault="00694E33">
      <w:pPr>
        <w:widowControl w:val="0"/>
        <w:rPr>
          <w:b/>
          <w:bCs/>
          <w:sz w:val="24"/>
        </w:rPr>
      </w:pPr>
    </w:p>
    <w:p w:rsidR="00694E33" w:rsidRDefault="00694E33">
      <w:pPr>
        <w:pStyle w:val="aa"/>
        <w:spacing w:before="0" w:after="0"/>
        <w:rPr>
          <w:rFonts w:cs="Times New Roman"/>
          <w:b/>
        </w:rPr>
      </w:pPr>
    </w:p>
    <w:p w:rsidR="00694E33" w:rsidRPr="00DB59A9" w:rsidRDefault="00122507">
      <w:pPr>
        <w:widowControl w:val="0"/>
      </w:pPr>
      <w:r w:rsidRPr="00DB59A9">
        <w:rPr>
          <w:b/>
          <w:szCs w:val="28"/>
        </w:rPr>
        <w:t xml:space="preserve">План организации обучения </w:t>
      </w:r>
    </w:p>
    <w:p w:rsidR="00694E33" w:rsidRPr="00DB59A9" w:rsidRDefault="00122507">
      <w:pPr>
        <w:pStyle w:val="aa"/>
        <w:spacing w:before="0" w:after="0"/>
        <w:rPr>
          <w:rFonts w:ascii="Times New Roman" w:hAnsi="Times New Roman" w:cs="Times New Roman"/>
        </w:rPr>
      </w:pPr>
      <w:r w:rsidRPr="00DB59A9">
        <w:rPr>
          <w:rFonts w:ascii="Times New Roman" w:hAnsi="Times New Roman" w:cs="Times New Roman"/>
          <w:b/>
        </w:rPr>
        <w:t xml:space="preserve">кадров избирательных комиссий и других участников избирательного (референдумного) процесса на территории </w:t>
      </w:r>
      <w:r w:rsidRPr="00DB59A9">
        <w:rPr>
          <w:rFonts w:ascii="Times New Roman" w:hAnsi="Times New Roman" w:cs="Times New Roman"/>
          <w:b/>
          <w:bCs/>
          <w:szCs w:val="24"/>
        </w:rPr>
        <w:t>Залегощенского</w:t>
      </w:r>
      <w:r w:rsidRPr="00DB59A9">
        <w:rPr>
          <w:rFonts w:ascii="Times New Roman" w:hAnsi="Times New Roman" w:cs="Times New Roman"/>
          <w:b/>
        </w:rPr>
        <w:t xml:space="preserve"> района на 2022 год </w:t>
      </w:r>
    </w:p>
    <w:p w:rsidR="00694E33" w:rsidRPr="00DB59A9" w:rsidRDefault="00694E33">
      <w:pPr>
        <w:rPr>
          <w:b/>
          <w:bCs/>
        </w:rPr>
      </w:pPr>
    </w:p>
    <w:tbl>
      <w:tblPr>
        <w:tblW w:w="14816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79"/>
        <w:gridCol w:w="3858"/>
        <w:gridCol w:w="5594"/>
        <w:gridCol w:w="2552"/>
        <w:gridCol w:w="2233"/>
      </w:tblGrid>
      <w:tr w:rsidR="00694E33">
        <w:trPr>
          <w:cantSplit/>
          <w:trHeight w:val="23"/>
          <w:tblHeader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Категория обучаемых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Срок (периодичность) проведения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 xml:space="preserve">Ответственные исполнители </w:t>
            </w:r>
          </w:p>
        </w:tc>
      </w:tr>
      <w:tr w:rsidR="00694E33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  <w:spacing w:before="120" w:after="120"/>
            </w:pPr>
            <w:r>
              <w:rPr>
                <w:b/>
                <w:sz w:val="24"/>
              </w:rPr>
              <w:t>1. Обучение членов территориальной избирательной комиссии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  <w:widowControl w:val="0"/>
            </w:pPr>
            <w:r>
              <w:rPr>
                <w:sz w:val="24"/>
              </w:rPr>
              <w:t>Председатель, заместитель председателя и секретарь территориальной избирательной комиссии Залегощенского района (далее – ТИК)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  <w:highlight w:val="white"/>
              </w:rPr>
              <w:t xml:space="preserve">Участие в тематическом семинаре по основным изменениям в федеральном и региональном законодательстве и практике его применения </w:t>
            </w:r>
            <w:r>
              <w:rPr>
                <w:sz w:val="24"/>
              </w:rPr>
              <w:t>(в том числе дистанционно и в режиме ВКС)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contextualSpacing/>
            </w:pPr>
            <w:r>
              <w:rPr>
                <w:bCs/>
                <w:sz w:val="24"/>
                <w:highlight w:val="white"/>
              </w:rPr>
              <w:t>по мере принятия изменений</w:t>
            </w:r>
          </w:p>
          <w:p w:rsidR="00694E33" w:rsidRDefault="00694E33">
            <w:pPr>
              <w:contextualSpacing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 xml:space="preserve">Председатель ТИК </w:t>
            </w:r>
            <w:bookmarkStart w:id="0" w:name="__DdeLink__1028_1821845024"/>
            <w:r>
              <w:rPr>
                <w:sz w:val="24"/>
              </w:rPr>
              <w:t>Залегощенского</w:t>
            </w:r>
            <w:bookmarkEnd w:id="0"/>
            <w:r>
              <w:rPr>
                <w:sz w:val="24"/>
              </w:rPr>
              <w:t xml:space="preserve">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  <w:widowControl w:val="0"/>
            </w:pPr>
            <w:r>
              <w:rPr>
                <w:sz w:val="24"/>
              </w:rPr>
              <w:t>Председатель, заместитель председателя и секретарь ТИК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Участие в тематических обучающих семинарах в рамках подготовки к выборам единый день голосования  11 сентября 2022 года (в том числе в дистанционном формате)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contextualSpacing/>
            </w:pPr>
            <w:r>
              <w:rPr>
                <w:bCs/>
                <w:sz w:val="24"/>
                <w:highlight w:val="white"/>
              </w:rPr>
              <w:t>май-сентябрь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  <w:widowControl w:val="0"/>
            </w:pPr>
            <w:r>
              <w:rPr>
                <w:sz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Очное обучение по вопросам подготовки и проведения выборов в органы местного самоуправления  11 сентября 2022 года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contextualSpacing/>
            </w:pPr>
            <w:r>
              <w:rPr>
                <w:bCs/>
                <w:sz w:val="24"/>
                <w:highlight w:val="white"/>
              </w:rPr>
              <w:t>май-сентябрь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Секретарь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</w:t>
            </w:r>
          </w:p>
        </w:tc>
        <w:tc>
          <w:tcPr>
            <w:tcW w:w="38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pStyle w:val="af7"/>
              <w:widowControl w:val="0"/>
              <w:spacing w:line="216" w:lineRule="auto"/>
              <w:jc w:val="center"/>
            </w:pPr>
            <w:r>
              <w:rPr>
                <w:szCs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  <w:jc w:val="left"/>
            </w:pPr>
            <w:r>
              <w:rPr>
                <w:sz w:val="24"/>
              </w:rPr>
              <w:t>Обучение (в том числе дистанционно и в режиме ВКС) по учебной программе «Правовые основы избирательного процесса и организации работы территориальной избирательной комиссии</w:t>
            </w:r>
            <w:r>
              <w:rPr>
                <w:bCs/>
                <w:sz w:val="24"/>
              </w:rPr>
              <w:t>»: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contextualSpacing/>
            </w:pPr>
            <w:r>
              <w:rPr>
                <w:bCs/>
                <w:sz w:val="24"/>
                <w:highlight w:val="white"/>
              </w:rPr>
              <w:t>март-сентябрь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>Правовой статус и полномочия территориальной избирательной комиссии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>Документационное обеспечение деятельности тер</w:t>
            </w:r>
            <w:r>
              <w:rPr>
                <w:bCs/>
                <w:sz w:val="24"/>
              </w:rPr>
              <w:softHyphen/>
              <w:t>риториальной избирательной комиссии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 xml:space="preserve">11 марта 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694E33">
            <w:pPr>
              <w:widowControl w:val="0"/>
              <w:rPr>
                <w:sz w:val="24"/>
              </w:rPr>
            </w:pP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Секретарь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  <w:lang w:eastAsia="en-US"/>
              </w:rPr>
              <w:t>Ответственность за нарушения избирательного законодательства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>Информационное обеспечение участников избирательного процесса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19 мая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694E33">
            <w:pPr>
              <w:widowControl w:val="0"/>
              <w:rPr>
                <w:sz w:val="24"/>
              </w:rPr>
            </w:pPr>
          </w:p>
        </w:tc>
      </w:tr>
      <w:tr w:rsidR="00694E33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bCs/>
                <w:sz w:val="24"/>
              </w:rPr>
              <w:t>Выдвижение и  регистрация кандидатов, списков кандидатов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14 июня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122507">
            <w:pPr>
              <w:keepNext/>
              <w:widowControl w:val="0"/>
            </w:pPr>
            <w:r>
              <w:rPr>
                <w:sz w:val="24"/>
              </w:rPr>
              <w:t>Секретарь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shd w:val="clear" w:color="auto" w:fill="FFFFFF"/>
              <w:ind w:firstLine="11"/>
              <w:jc w:val="left"/>
            </w:pPr>
            <w:r>
              <w:rPr>
                <w:bCs/>
                <w:sz w:val="24"/>
              </w:rPr>
              <w:t>- Регистрация (учет) избирателей, составление списков избирателей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29 июля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Секретарь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СА КСА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shd w:val="clear" w:color="auto" w:fill="FFFFFF"/>
              <w:ind w:firstLine="11"/>
              <w:jc w:val="left"/>
            </w:pPr>
            <w:r>
              <w:rPr>
                <w:bCs/>
                <w:sz w:val="24"/>
              </w:rPr>
              <w:t>- Организация и порядок голосования. Организация голосования вне помещения</w:t>
            </w:r>
          </w:p>
          <w:p w:rsidR="00694E33" w:rsidRDefault="00122507">
            <w:pPr>
              <w:shd w:val="clear" w:color="auto" w:fill="FFFFFF"/>
              <w:ind w:firstLine="11"/>
              <w:jc w:val="left"/>
            </w:pPr>
            <w:r>
              <w:rPr>
                <w:bCs/>
                <w:sz w:val="24"/>
              </w:rPr>
              <w:t>- Подсчет голосов и установление итогов голосования. Определение результатов выборов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26 августа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Секретарь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</w:pPr>
            <w:r>
              <w:rPr>
                <w:sz w:val="24"/>
              </w:rPr>
              <w:t>Председатели ТИК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keepNext/>
              <w:jc w:val="left"/>
            </w:pPr>
            <w:r>
              <w:rPr>
                <w:sz w:val="24"/>
              </w:rPr>
              <w:t>Участие в семинаре по итогам работы ТИК в 2022 году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contextualSpacing/>
            </w:pPr>
            <w:r>
              <w:rPr>
                <w:bCs/>
                <w:sz w:val="24"/>
              </w:rPr>
              <w:t>ноябрь-декабрь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widowControl w:val="0"/>
              <w:spacing w:before="120"/>
            </w:pPr>
            <w:r>
              <w:rPr>
                <w:b/>
                <w:sz w:val="24"/>
              </w:rPr>
              <w:t xml:space="preserve">2. Организация и проведение обучения членов участковых избирательных комиссий </w:t>
            </w:r>
          </w:p>
          <w:p w:rsidR="00694E33" w:rsidRDefault="00122507">
            <w:pPr>
              <w:widowControl w:val="0"/>
              <w:spacing w:after="120"/>
            </w:pPr>
            <w:r>
              <w:rPr>
                <w:b/>
                <w:sz w:val="24"/>
              </w:rPr>
              <w:t>и резерва составов участковых комиссий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Члены участковых избирательных комиссий (далее – УИК)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Очное обучение по вопросам подготовки и проведения выборов в органы местного самоуправления  11 сентября 2022 года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bCs/>
                <w:sz w:val="24"/>
              </w:rPr>
              <w:t>август- сентябрь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Секретарь ТИК</w:t>
            </w:r>
          </w:p>
          <w:p w:rsidR="00694E33" w:rsidRDefault="00122507">
            <w:pPr>
              <w:widowControl w:val="0"/>
            </w:pPr>
            <w:r>
              <w:rPr>
                <w:sz w:val="24"/>
              </w:rPr>
              <w:t>СА КСА ТИК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Члены УИК, резерв составов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Обучение (в том числе дистанционно и в режиме ВКС) по учебной программе «Правовые основы избирательного процесса и организации работы участковой избирательной комиссии</w:t>
            </w:r>
            <w:r>
              <w:rPr>
                <w:bCs/>
                <w:sz w:val="24"/>
              </w:rPr>
              <w:t xml:space="preserve">», в том числе с использованием </w:t>
            </w:r>
            <w:r>
              <w:rPr>
                <w:sz w:val="24"/>
              </w:rPr>
              <w:t>учебно-методического комплекса ЦИК России «Избирательное право и избирательный процесс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bCs/>
                <w:sz w:val="24"/>
              </w:rPr>
              <w:t>в течение года</w:t>
            </w:r>
          </w:p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 xml:space="preserve">Председатели, заместители председателей и секретари участковых избирательных комиссий 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Тематический семинар № 1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Изменение избирательного законодательства РФ.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Организация работы участковой избирательной комиссии.</w:t>
            </w:r>
          </w:p>
          <w:p w:rsidR="00694E33" w:rsidRDefault="00122507">
            <w:pPr>
              <w:jc w:val="left"/>
            </w:pPr>
            <w:r>
              <w:rPr>
                <w:sz w:val="24"/>
              </w:rPr>
              <w:t xml:space="preserve">- Организация работы УИК по информированию избирателей. </w:t>
            </w:r>
          </w:p>
          <w:p w:rsidR="00694E33" w:rsidRDefault="00122507">
            <w:pPr>
              <w:jc w:val="left"/>
            </w:pPr>
            <w:r>
              <w:rPr>
                <w:sz w:val="24"/>
              </w:rPr>
              <w:t>- Контроль за соблюдением законодательства при размещении агитационных материалов в границах избирательного участка.</w:t>
            </w:r>
          </w:p>
          <w:p w:rsidR="00694E33" w:rsidRDefault="00122507">
            <w:pPr>
              <w:jc w:val="left"/>
            </w:pPr>
            <w:r>
              <w:rPr>
                <w:sz w:val="24"/>
              </w:rPr>
              <w:t>- Работа УИК с обращениями, жалобами граждан и иных участников избирательного процесса.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24 марта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Тематический семинар № 2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Организация работы УИК по уточнению списков избирателей. 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Ознакомление избирателей со списком избирателей.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Реализация избирательных прав граждан, являющихся инвалидами.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16 июня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Тематический семинар № 3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Работа УИК по подготовке помещений для голосования и мест для тайного голосования.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Порядок голосования избирателей в помещении для голосования в день голосования.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Организация и порядок проведения голосования избирателей вне помещения для голосования.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Организация и проведение досрочного голосования.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11 августа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Тематический семинар № 4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Организация работы УИК с избирательными бюллетенями.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Гласность в деятельности комиссий. 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- Обеспечение безопасности и правопорядка. </w:t>
            </w:r>
          </w:p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>- Подсчет голосов избирателей. Установление итогов голосования 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2 сентября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94E33" w:rsidRDefault="00122507">
            <w:pPr>
              <w:spacing w:before="120"/>
            </w:pPr>
            <w:r>
              <w:rPr>
                <w:b/>
                <w:sz w:val="24"/>
              </w:rPr>
              <w:t xml:space="preserve">3. Повышение уровня правовых знаний иных участников </w:t>
            </w:r>
          </w:p>
          <w:p w:rsidR="00694E33" w:rsidRDefault="00122507">
            <w:pPr>
              <w:spacing w:after="120"/>
            </w:pPr>
            <w:r>
              <w:rPr>
                <w:b/>
                <w:sz w:val="24"/>
              </w:rPr>
              <w:t>избирательного процесса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pStyle w:val="af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  <w:jc w:val="left"/>
            </w:pPr>
            <w:r>
              <w:rPr>
                <w:sz w:val="24"/>
              </w:rPr>
              <w:t xml:space="preserve">Участие в обучающих мероприятиях, организованных ЦИК России и ИКОО </w:t>
            </w:r>
            <w:r>
              <w:rPr>
                <w:sz w:val="24"/>
              </w:rPr>
              <w:br/>
              <w:t>(в режиме видеоконференции)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в течение года</w:t>
            </w:r>
          </w:p>
          <w:p w:rsidR="00694E33" w:rsidRDefault="00694E33">
            <w:pPr>
              <w:widowControl w:val="0"/>
              <w:rPr>
                <w:sz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pStyle w:val="af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Представители местных отделений политических партий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jc w:val="left"/>
            </w:pPr>
            <w:r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pStyle w:val="af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jc w:val="left"/>
            </w:pPr>
            <w:r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  <w:tr w:rsidR="00694E33">
        <w:trPr>
          <w:cantSplit/>
          <w:trHeight w:val="2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pStyle w:val="af6"/>
              <w:widowControl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Представители местных организаций общероссийских общественных организаций инвалидов</w:t>
            </w:r>
          </w:p>
        </w:tc>
        <w:tc>
          <w:tcPr>
            <w:tcW w:w="5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jc w:val="left"/>
            </w:pPr>
            <w:r>
              <w:rPr>
                <w:sz w:val="24"/>
              </w:rPr>
              <w:t>Семинар-совещание «Реализация избирательных прав граждан, являющихся инвалидами»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r>
              <w:rPr>
                <w:sz w:val="24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94E33" w:rsidRDefault="00122507">
            <w:pPr>
              <w:widowControl w:val="0"/>
            </w:pPr>
            <w:r>
              <w:rPr>
                <w:sz w:val="24"/>
              </w:rPr>
              <w:t>ТИК Залегощенского района</w:t>
            </w:r>
          </w:p>
        </w:tc>
      </w:tr>
    </w:tbl>
    <w:p w:rsidR="00694E33" w:rsidRDefault="00694E33">
      <w:pPr>
        <w:widowControl w:val="0"/>
        <w:ind w:left="10065"/>
        <w:rPr>
          <w:sz w:val="24"/>
        </w:rPr>
      </w:pPr>
    </w:p>
    <w:sectPr w:rsidR="00694E33" w:rsidSect="00694E33">
      <w:headerReference w:type="default" r:id="rId8"/>
      <w:headerReference w:type="first" r:id="rId9"/>
      <w:pgSz w:w="16838" w:h="11906" w:orient="landscape"/>
      <w:pgMar w:top="1701" w:right="1134" w:bottom="851" w:left="1134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33" w:rsidRDefault="00694E33" w:rsidP="00694E33">
      <w:r>
        <w:separator/>
      </w:r>
    </w:p>
  </w:endnote>
  <w:endnote w:type="continuationSeparator" w:id="0">
    <w:p w:rsidR="00694E33" w:rsidRDefault="00694E33" w:rsidP="0069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33" w:rsidRDefault="00694E33" w:rsidP="00694E33">
      <w:r>
        <w:separator/>
      </w:r>
    </w:p>
  </w:footnote>
  <w:footnote w:type="continuationSeparator" w:id="0">
    <w:p w:rsidR="00694E33" w:rsidRDefault="00694E33" w:rsidP="00694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33" w:rsidRDefault="00694E3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33" w:rsidRDefault="00694E33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33"/>
    <w:rsid w:val="00122507"/>
    <w:rsid w:val="003F358A"/>
    <w:rsid w:val="00694E33"/>
    <w:rsid w:val="008D6A70"/>
    <w:rsid w:val="00B27A1C"/>
    <w:rsid w:val="00CF5B6F"/>
    <w:rsid w:val="00D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694E33"/>
    <w:rPr>
      <w:rFonts w:eastAsia="Times New Roman" w:cs="Times New Roman"/>
    </w:rPr>
  </w:style>
  <w:style w:type="character" w:customStyle="1" w:styleId="ListLabel2">
    <w:name w:val="ListLabel 2"/>
    <w:qFormat/>
    <w:rsid w:val="00694E33"/>
    <w:rPr>
      <w:rFonts w:cs="Times New Roman"/>
    </w:rPr>
  </w:style>
  <w:style w:type="character" w:customStyle="1" w:styleId="ListLabel3">
    <w:name w:val="ListLabel 3"/>
    <w:qFormat/>
    <w:rsid w:val="00694E33"/>
    <w:rPr>
      <w:rFonts w:eastAsia="Arial Unicode MS" w:cs="Times New Roman"/>
    </w:rPr>
  </w:style>
  <w:style w:type="character" w:customStyle="1" w:styleId="ListLabel4">
    <w:name w:val="ListLabel 4"/>
    <w:qFormat/>
    <w:rsid w:val="00694E33"/>
    <w:rPr>
      <w:rFonts w:cs="Symbol"/>
    </w:rPr>
  </w:style>
  <w:style w:type="character" w:customStyle="1" w:styleId="11">
    <w:name w:val="Основной текст1"/>
    <w:basedOn w:val="a0"/>
    <w:qFormat/>
    <w:rsid w:val="00694E33"/>
    <w:rPr>
      <w:color w:val="000000"/>
      <w:spacing w:val="0"/>
      <w:w w:val="100"/>
      <w:sz w:val="25"/>
      <w:szCs w:val="25"/>
      <w:shd w:val="clear" w:color="auto" w:fill="FFFFFF"/>
      <w:lang w:val="ru-RU"/>
    </w:rPr>
  </w:style>
  <w:style w:type="paragraph" w:customStyle="1" w:styleId="aa">
    <w:name w:val="Заголовок"/>
    <w:basedOn w:val="a"/>
    <w:next w:val="ab"/>
    <w:qFormat/>
    <w:rsid w:val="00694E33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694E33"/>
    <w:rPr>
      <w:rFonts w:cs="FreeSans"/>
    </w:rPr>
  </w:style>
  <w:style w:type="paragraph" w:styleId="ad">
    <w:name w:val="Title"/>
    <w:basedOn w:val="a"/>
    <w:rsid w:val="00694E33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694E33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uiPriority w:val="99"/>
    <w:qFormat/>
    <w:rsid w:val="00B7217E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694E33"/>
    <w:pPr>
      <w:widowControl w:val="0"/>
      <w:suppressAutoHyphens/>
    </w:pPr>
    <w:rPr>
      <w:rFonts w:eastAsia="Andale Sans UI"/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694E33"/>
    <w:pPr>
      <w:spacing w:after="120" w:line="480" w:lineRule="auto"/>
    </w:pPr>
  </w:style>
  <w:style w:type="paragraph" w:customStyle="1" w:styleId="af9">
    <w:name w:val="Содержимое таблицы"/>
    <w:basedOn w:val="a"/>
    <w:qFormat/>
    <w:rsid w:val="00694E33"/>
  </w:style>
  <w:style w:type="paragraph" w:customStyle="1" w:styleId="afa">
    <w:name w:val="Заголовок таблицы"/>
    <w:basedOn w:val="af9"/>
    <w:qFormat/>
    <w:rsid w:val="00694E33"/>
  </w:style>
  <w:style w:type="paragraph" w:customStyle="1" w:styleId="12">
    <w:name w:val="Обычный1"/>
    <w:qFormat/>
    <w:rsid w:val="00694E33"/>
    <w:pPr>
      <w:widowControl w:val="0"/>
      <w:spacing w:line="276" w:lineRule="auto"/>
      <w:ind w:firstLine="700"/>
    </w:pPr>
    <w:rPr>
      <w:rFonts w:ascii="Arial" w:hAnsi="Arial"/>
      <w:color w:val="00000A"/>
    </w:rPr>
  </w:style>
  <w:style w:type="paragraph" w:customStyle="1" w:styleId="33">
    <w:name w:val="Основной текст3"/>
    <w:basedOn w:val="a"/>
    <w:qFormat/>
    <w:rsid w:val="00694E33"/>
    <w:pPr>
      <w:widowControl w:val="0"/>
      <w:shd w:val="clear" w:color="auto" w:fill="FFFFFF"/>
      <w:spacing w:line="480" w:lineRule="exact"/>
    </w:pPr>
    <w:rPr>
      <w:color w:val="000000"/>
      <w:sz w:val="26"/>
      <w:szCs w:val="26"/>
    </w:rPr>
  </w:style>
  <w:style w:type="paragraph" w:customStyle="1" w:styleId="Standard">
    <w:name w:val="Standard"/>
    <w:qFormat/>
    <w:rsid w:val="00694E33"/>
    <w:pPr>
      <w:suppressAutoHyphens/>
      <w:jc w:val="center"/>
      <w:textAlignment w:val="baseline"/>
    </w:pPr>
    <w:rPr>
      <w:color w:val="00000A"/>
      <w:sz w:val="28"/>
      <w:szCs w:val="24"/>
      <w:lang w:eastAsia="zh-CN"/>
    </w:rPr>
  </w:style>
  <w:style w:type="paragraph" w:customStyle="1" w:styleId="afb">
    <w:name w:val="Заглавие"/>
    <w:basedOn w:val="a"/>
    <w:rsid w:val="00694E33"/>
    <w:pPr>
      <w:ind w:firstLine="709"/>
    </w:pPr>
    <w:rPr>
      <w:b/>
      <w:sz w:val="24"/>
      <w:szCs w:val="20"/>
    </w:rPr>
  </w:style>
  <w:style w:type="table" w:styleId="afc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1F1C-018D-46BA-A657-7D356362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1164</Words>
  <Characters>6639</Characters>
  <Application>Microsoft Office Word</Application>
  <DocSecurity>0</DocSecurity>
  <Lines>55</Lines>
  <Paragraphs>15</Paragraphs>
  <ScaleCrop>false</ScaleCrop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86</cp:revision>
  <cp:lastPrinted>2014-12-24T06:50:00Z</cp:lastPrinted>
  <dcterms:created xsi:type="dcterms:W3CDTF">2016-03-29T06:44:00Z</dcterms:created>
  <dcterms:modified xsi:type="dcterms:W3CDTF">2022-02-21T07:46:00Z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