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6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 заверении списка кандидатов в депутаты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Прилепского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седьмого созыва, выдвинутых </w:t>
      </w:r>
      <w:bookmarkStart w:id="0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bookmarkEnd w:id="0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одномандатным избирательным округам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cs="Times New Roman"/>
          <w:sz w:val="28"/>
          <w:szCs w:val="28"/>
          <w:shd w:fill="FFFFFF" w:val="clear"/>
        </w:rPr>
        <w:t>Прилепского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сельского Совета народных депутатов седьмого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однома</w:t>
      </w:r>
      <w:r>
        <w:rPr>
          <w:rFonts w:cs="Times New Roman"/>
          <w:sz w:val="28"/>
          <w:szCs w:val="28"/>
          <w:shd w:fill="FFFFFF" w:val="clear"/>
        </w:rPr>
        <w:t>ндатным избирательным округам,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cs="Times New Roman"/>
          <w:b w:val="false"/>
          <w:bCs w:val="false"/>
          <w:sz w:val="28"/>
          <w:szCs w:val="28"/>
        </w:rPr>
        <w:t>Прилепского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сельского Совета народных депутатов седьмого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 одномандатным избирательным округам,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372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2022-07-15T16:05:45Z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