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 xml:space="preserve">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/</w:t>
            </w:r>
            <w:r>
              <w:rPr/>
              <w:t>60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Об открытии специального избирательного счета кандидата в депутаты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Залегощенского поселкового Совета народных депутатов  шестого созыва по одномандатному избирательному округу № 1 </w:t>
      </w:r>
      <w:bookmarkStart w:id="0" w:name="__DdeLink__82_1825582523"/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  <w:t>П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  <w:t>енькову Григорию Евгеньевичу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В соответствии с пунктом 11 статьи 58 Федерального закона </w:t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частью 1 статьи 18.2 Закона Орловской области от 30 июня 2010 года № 1087-ОЗ </w:t>
        <w:br/>
        <w:t xml:space="preserve">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в органы местного самоуправления муниципальных образований Орловской области, утвержденным постановлением Избирательной комиссии Орловской области от 2 июня 2021 года № 133/882-6, </w:t>
      </w:r>
      <w:r>
        <w:rPr>
          <w:rFonts w:cs="Times New Roman"/>
          <w:sz w:val="28"/>
          <w:szCs w:val="28"/>
        </w:rPr>
        <w:t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/>
          <w:bCs/>
          <w:sz w:val="28"/>
          <w:szCs w:val="28"/>
          <w:highlight w:val="white"/>
          <w:lang w:eastAsia="ru-RU"/>
        </w:rPr>
        <w:t xml:space="preserve">решением  территориальной избирательной комиссии Залегощенского района от 24.06.2022 г № 9/22 «О возложении полномочий окружных избирательных комиссий одномандатных избирательных округов по повторным  выборам депутатов Залегощенского поселкового Совета народных депутатов шестого созыва </w:t>
      </w:r>
      <w:r>
        <w:rPr>
          <w:rFonts w:cs="Times New Roman"/>
          <w:bCs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highlight w:val="white"/>
          <w:lang w:eastAsia="ru-RU"/>
        </w:rPr>
        <w:t>на 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территориальную избирательную комиссию  </w:t>
      </w:r>
      <w:r>
        <w:rPr>
          <w:rFonts w:cs="Times New Roman"/>
          <w:bCs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 района</w:t>
      </w:r>
      <w:r>
        <w:rPr>
          <w:rFonts w:cs="Times New Roman"/>
          <w:bCs/>
          <w:sz w:val="28"/>
          <w:szCs w:val="28"/>
          <w:highlight w:val="white"/>
          <w:lang w:eastAsia="ru-RU"/>
        </w:rPr>
        <w:t>»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территориальная избирательная комиссия Залегощенского района РЕШ</w:t>
      </w:r>
      <w:r>
        <w:rPr>
          <w:rFonts w:cs="Times New Roman"/>
          <w:bCs/>
          <w:color w:val="000000"/>
          <w:sz w:val="28"/>
          <w:szCs w:val="28"/>
          <w:lang w:eastAsia="ru-RU"/>
        </w:rPr>
        <w:t>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Разрешить кандидату в депутаты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Залегощенского поселкового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Совета народных депутатов шестого созыва по одномандатному избирательному округу № 1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Пенькову Григорию Евгеньевичу</w:t>
      </w:r>
      <w:r>
        <w:rPr>
          <w:rFonts w:eastAsia="Times New Roman" w:cs="Times New Roman"/>
          <w:bCs/>
          <w:sz w:val="28"/>
          <w:szCs w:val="28"/>
          <w:lang w:eastAsia="ru-RU"/>
        </w:rPr>
        <w:t>,  открыть специальный избирательный счет для формирования избирательного фонда в дополнительном офисе № 8595/0314 Орловского отделения № 8595 ПАО Сбербанк России, расположенном по адресу: Орловская область, Залегощенский район, пгт Залегощь, ул. М. Горького д.18 «а».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  Разместить настоящее решение на сайте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Залегощенского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362</TotalTime>
  <Application>LibreOffice/5.0.3.2$Linux_x86 LibreOffice_project/00m0$Build-2</Application>
  <Paragraphs>15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2022-07-20T10:16:00Z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